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Calibri"/>
          <w:b/>
          <w:bCs/>
          <w:szCs w:val="28"/>
        </w:rPr>
        <w:t xml:space="preserve"> 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/>
      </w:pPr>
      <w:r>
        <w:rPr>
          <w:rFonts w:eastAsia="Calibri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/>
      </w:pPr>
      <w:r>
        <w:rPr>
          <w:rFonts w:eastAsia="Calibri"/>
          <w:bCs/>
          <w:szCs w:val="28"/>
        </w:rPr>
        <w:t>20</w:t>
      </w:r>
      <w:r>
        <w:rPr>
          <w:rFonts w:eastAsia="Calibri"/>
          <w:bCs/>
          <w:szCs w:val="28"/>
        </w:rPr>
        <w:t>.01.2025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Единый государственный реестр недвижимости внесены сведения </w:t>
        <w:br/>
        <w:t>о границах лесопаркового зеленого пояса города Барнаула</w:t>
      </w:r>
    </w:p>
    <w:p>
      <w:pPr>
        <w:pStyle w:val="Normal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bCs w:val="false"/>
          <w:i w:val="false"/>
          <w:i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В декабре 2024 года</w:t>
      </w:r>
      <w:r>
        <w:rPr>
          <w:i w:val="false"/>
          <w:iCs w:val="false"/>
          <w:sz w:val="28"/>
          <w:szCs w:val="28"/>
        </w:rPr>
        <w:t xml:space="preserve"> в Единый государственный реестр недвижимости (ЕГРН) внесены сведения о границах лесопаркового зеленого пояса, созданного </w:t>
        <w:br/>
        <w:t>на территории города Барнаула.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i w:val="false"/>
          <w:iCs w:val="false"/>
          <w:sz w:val="28"/>
          <w:szCs w:val="28"/>
        </w:rPr>
        <w:t>Данное событие является важным шагом для защиты окружающей среды и обеспечения устойчивого развития городской инфраструктуры. Внесение сведений о границах лесопаркового зеленого пояса в ЕГРН позволяет: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i w:val="false"/>
          <w:iCs w:val="false"/>
          <w:sz w:val="28"/>
          <w:szCs w:val="28"/>
        </w:rPr>
        <w:t xml:space="preserve">- </w:t>
      </w:r>
      <w:r>
        <w:rPr>
          <w:b/>
          <w:bCs/>
          <w:i w:val="false"/>
          <w:iCs w:val="false"/>
          <w:sz w:val="28"/>
          <w:szCs w:val="28"/>
        </w:rPr>
        <w:t>обеспечить правовой статус территории</w:t>
      </w:r>
      <w:r>
        <w:rPr>
          <w:i w:val="false"/>
          <w:iCs w:val="false"/>
          <w:sz w:val="28"/>
          <w:szCs w:val="28"/>
        </w:rPr>
        <w:t xml:space="preserve">, предотвращая застройку </w:t>
        <w:br/>
        <w:t>и злоупотребления, связанные с использованием земель;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i w:val="false"/>
          <w:iCs w:val="false"/>
          <w:sz w:val="28"/>
          <w:szCs w:val="28"/>
        </w:rPr>
        <w:t xml:space="preserve">- </w:t>
      </w:r>
      <w:r>
        <w:rPr>
          <w:b/>
          <w:bCs/>
          <w:i w:val="false"/>
          <w:iCs w:val="false"/>
          <w:sz w:val="28"/>
          <w:szCs w:val="28"/>
        </w:rPr>
        <w:t>упорядочить использование земель</w:t>
      </w:r>
      <w:r>
        <w:rPr>
          <w:i w:val="false"/>
          <w:iCs w:val="false"/>
          <w:sz w:val="28"/>
          <w:szCs w:val="28"/>
        </w:rPr>
        <w:t>, способствуя улучшению планирования городских территорий;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i w:val="false"/>
          <w:iCs w:val="false"/>
          <w:sz w:val="28"/>
          <w:szCs w:val="28"/>
        </w:rPr>
        <w:t xml:space="preserve">- </w:t>
      </w:r>
      <w:r>
        <w:rPr>
          <w:b/>
          <w:bCs/>
          <w:i w:val="false"/>
          <w:iCs w:val="false"/>
          <w:sz w:val="28"/>
          <w:szCs w:val="28"/>
        </w:rPr>
        <w:t>увеличить защиту экосистем</w:t>
      </w:r>
      <w:r>
        <w:rPr>
          <w:i w:val="false"/>
          <w:iCs w:val="false"/>
          <w:sz w:val="28"/>
          <w:szCs w:val="28"/>
        </w:rPr>
        <w:t>, способствуя охране и восстановлению городских лесов, а также обеспечивая контроль за соблюдением законодательства;</w:t>
      </w:r>
    </w:p>
    <w:p>
      <w:pPr>
        <w:pStyle w:val="Normal"/>
        <w:shd w:val="clear" w:color="auto" w:fill="FFFFFF"/>
        <w:ind w:firstLine="709"/>
        <w:jc w:val="both"/>
        <w:rPr>
          <w:bCs w:val="false"/>
          <w:i w:val="false"/>
          <w:i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- </w:t>
      </w:r>
      <w:r>
        <w:rPr>
          <w:b/>
          <w:bCs/>
          <w:i w:val="false"/>
          <w:iCs w:val="false"/>
          <w:sz w:val="28"/>
          <w:szCs w:val="28"/>
        </w:rPr>
        <w:t>повысить уровень экологической ответственности</w:t>
      </w:r>
      <w:r>
        <w:rPr>
          <w:i w:val="false"/>
          <w:iCs w:val="false"/>
          <w:sz w:val="28"/>
          <w:szCs w:val="28"/>
        </w:rPr>
        <w:t>, повышая осведомлённость населения о важности охраны природы и улучшая взаимодействие между государственными органами и обществом.</w:t>
      </w:r>
    </w:p>
    <w:p>
      <w:pPr>
        <w:pStyle w:val="Normal"/>
        <w:shd w:val="clear" w:color="auto" w:fill="FFFFFF"/>
        <w:ind w:firstLine="708"/>
        <w:jc w:val="both"/>
        <w:rPr>
          <w:bCs w:val="false"/>
          <w:i w:val="false"/>
          <w:i w:val="false"/>
          <w:sz w:val="28"/>
          <w:szCs w:val="28"/>
          <w:highlight w:val="none"/>
        </w:rPr>
      </w:pPr>
      <w:r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 xml:space="preserve">Лесопарковые зоны играют важную роль в экосистемах городов </w:t>
        <w:br/>
        <w:t xml:space="preserve">и районов, а их правовой статус и защита должны быть четко зафиксированы. </w:t>
      </w:r>
      <w:r>
        <w:rPr>
          <w:bCs/>
          <w:i/>
          <w:iCs/>
          <w:sz w:val="28"/>
          <w:szCs w:val="28"/>
        </w:rPr>
        <w:t>Территория лесопаркового зеленого пояса относится к зонам с ограниченным режимом природопользования и иной хозяйственной деятельности. В границах лесопаркового зеленого пояса не допускается использование земельных участков, противоречащих ограниченному режиму природопользования и иной хозяйственной деятельности</w:t>
      </w:r>
      <w:r>
        <w:rPr>
          <w:i w:val="false"/>
          <w:iCs w:val="false"/>
          <w:sz w:val="28"/>
          <w:szCs w:val="28"/>
        </w:rPr>
        <w:t>», - отметила заместитель руководителя Управления Росреестра по Алтайскому краю Саулина Е.П.</w:t>
      </w:r>
    </w:p>
    <w:p>
      <w:pPr>
        <w:pStyle w:val="Normal"/>
        <w:shd w:val="clear" w:color="auto" w:fill="FFFFFF"/>
        <w:ind w:firstLine="708"/>
        <w:jc w:val="both"/>
        <w:rPr>
          <w:bCs w:val="false"/>
          <w:i w:val="false"/>
          <w:i w:val="false"/>
          <w:sz w:val="28"/>
          <w:szCs w:val="28"/>
          <w:highlight w:val="none"/>
        </w:rPr>
      </w:pPr>
      <w:r>
        <w:rPr>
          <w:bCs w:val="false"/>
          <w:i w:val="false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p>
      <w:pPr>
        <w:pStyle w:val="Standard"/>
        <w:jc w:val="both"/>
        <w:rPr>
          <w:rFonts w:eastAsia="Calibri"/>
          <w:bCs w:val="false"/>
          <w:i w:val="false"/>
          <w:i w:val="false"/>
          <w:color w:val="0000FF"/>
          <w:sz w:val="28"/>
          <w:szCs w:val="28"/>
          <w:highlight w:val="none"/>
          <w:u w:val="single"/>
          <w:shd w:fill="FFFFFF" w:val="clear"/>
          <w:lang w:eastAsia="en-US"/>
        </w:rPr>
      </w:pPr>
      <w:r>
        <w:rPr/>
      </w:r>
    </w:p>
    <w:p>
      <w:pPr>
        <w:pStyle w:val="Normal"/>
        <w:shd w:val="clear" w:color="auto" w:fill="FFFFFF"/>
        <w:ind w:firstLine="708"/>
        <w:jc w:val="both"/>
        <w:rPr>
          <w:bCs w:val="false"/>
          <w:i w:val="false"/>
          <w:i w:val="false"/>
          <w:sz w:val="28"/>
          <w:szCs w:val="28"/>
        </w:rPr>
      </w:pPr>
      <w:r>
        <w:rPr>
          <w:bCs w:val="false"/>
          <w:i w:val="false"/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bCs w:val="false"/>
          <w:i w:val="false"/>
          <w:i w:val="false"/>
          <w:sz w:val="28"/>
          <w:szCs w:val="28"/>
        </w:rPr>
      </w:pPr>
      <w:r>
        <w:rPr>
          <w:bCs w:val="false"/>
          <w:i w:val="false"/>
          <w:sz w:val="28"/>
          <w:szCs w:val="28"/>
        </w:rPr>
      </w:r>
    </w:p>
    <w:p>
      <w:pPr>
        <w:pStyle w:val="Normal"/>
        <w:shd w:val="clear" w:color="auto" w:fill="FFFFFF"/>
        <w:ind w:hanging="0"/>
        <w:jc w:val="both"/>
        <w:rPr>
          <w:bCs w:val="false"/>
          <w:i w:val="false"/>
          <w:i w:val="false"/>
          <w:sz w:val="28"/>
          <w:szCs w:val="28"/>
        </w:rPr>
      </w:pPr>
      <w:r>
        <w:rPr>
          <w:bCs w:val="false"/>
          <w:i w:val="false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8">
    <w:name w:val="Символ сноски"/>
    <w:qFormat/>
    <w:rPr>
      <w:vertAlign w:val="superscript"/>
    </w:rPr>
  </w:style>
  <w:style w:type="character" w:styleId="Style9">
    <w:name w:val="Footnote Reference"/>
    <w:rPr>
      <w:vertAlign w:val="superscript"/>
    </w:rPr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Mangal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1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Footnote Text"/>
    <w:basedOn w:val="Normal"/>
    <w:qFormat/>
    <w:pPr/>
    <w:rPr>
      <w:sz w:val="20"/>
      <w:szCs w:val="20"/>
    </w:rPr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Blockblock-3c" w:customStyle="1">
    <w:name w:val="block__block-3c"/>
    <w:basedOn w:val="Normal"/>
    <w:qFormat/>
    <w:pPr>
      <w:spacing w:beforeAutospacing="1" w:afterAutospacing="1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1AE5-9FFA-4E61-84EA-EDA043C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1</Pages>
  <Words>186</Words>
  <Characters>1404</Characters>
  <CharactersWithSpaces>1656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2024-09-27T06:27:00Z</dcterms:created>
  <dc:creator>Кузьмина Анна Юрьевна</dc:creator>
  <dc:description/>
  <dc:language>ru-RU</dc:language>
  <cp:lastModifiedBy/>
  <dcterms:modified xsi:type="dcterms:W3CDTF">2025-01-20T16:27:46Z</dcterms:modified>
  <cp:revision>18</cp:revision>
  <dc:subject/>
  <dc:title/>
</cp:coreProperties>
</file>