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b/>
          <w:sz w:val="26"/>
        </w:rPr>
        <w:t xml:space="preserve">АО «Корпорация МСП» высоко оценила работу Алтайского фонда финансирования предпринимательства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Генеральный директ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ор АО «Корпорация «МСП» Александр Исаевич выразил благодарность Губернатору Алтайского края Виктору Томенко и Правительству Алатйского края за повышение доступности микрофинансовой поддержки субъектов малого и среднего предпринимательства в Алтайском крае.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Отмечается высокая активность и вовлеченность некоммерческой микрокридитной компании «Алтайский фонд финансирования предпринимательства»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в продвижение и развитие сервиса «Подбор и получение микрофинансирования» на Цифровой платформе МСП.РФ.</w:t>
      </w:r>
      <w:r>
        <w:t xml:space="preserve">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С начала года предприниматели Алтайского края через данную платформу привлекли 126 займов на сумму 348 млн. рублей.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  <w:t xml:space="preserve">Напомним, в рамках национального проекта «Малое и среднее предпринимательство» Алтайский фонд финансирования предпринимательства предоставляет субъектам МСП а также физлицам, применяющим специальный налоговый режи</w:t>
      </w:r>
      <w:r>
        <w:rPr>
          <w:rFonts w:ascii="PT Astra Serif" w:hAnsi="PT Astra Serif" w:cs="PT Astra Serif" w:eastAsia="PT Astra Serif"/>
          <w:sz w:val="26"/>
        </w:rPr>
        <w:t xml:space="preserve">м «Налог на профессиональный доход», льготное финансирование.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Работа фонда позволила получить предпринимателям Алтайского края доступные заемные средства на развитие и инвестиции.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Так, с начала реализации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национального проекта «Малое и среднее предпринимательство» с 2019 по 2024 гг. 2 259 клиентов фонда направили заемные средства в размере 6 млрд. 242  млн. рублей на приобретение производственного оборудования, транспорта, техники,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объектов недвижимости.</w:t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«С учетом востребованности услуг капитал фонда был увеличен до почти 2 миллиардов рублей. И в дальнейшем ег</w:t>
      </w:r>
      <w:r>
        <w:rPr>
          <w:rFonts w:ascii="PT Astra Serif" w:hAnsi="PT Astra Serif" w:cs="PT Astra Serif" w:eastAsia="PT Astra Serif"/>
          <w:sz w:val="26"/>
        </w:rPr>
        <w:t xml:space="preserve">о работа будет направлена на то, чтобы максимально оперативно реагировать на потребности бизнеса, помогать предприятиям развиваться и подстраиваться под изменчивые условия жизни», - отметил Губернатор Алтайского края Виктор Томенко в своем телеграм-канале.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  <w:style w:type="paragraph" w:styleId="63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65</cp:revision>
  <dcterms:created xsi:type="dcterms:W3CDTF">2023-02-20T08:28:00Z</dcterms:created>
  <dcterms:modified xsi:type="dcterms:W3CDTF">2024-12-19T04:34:14Z</dcterms:modified>
</cp:coreProperties>
</file>