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31" w:rsidRDefault="00C71340">
      <w:pPr>
        <w:jc w:val="both"/>
        <w:rPr>
          <w:rFonts w:ascii="PT Serif" w:eastAsia="PT Serif" w:hAnsi="PT Serif" w:cs="PT Serif"/>
          <w:b/>
          <w:sz w:val="26"/>
        </w:rPr>
      </w:pPr>
      <w:r>
        <w:rPr>
          <w:rFonts w:ascii="PT Serif" w:eastAsia="PT Serif" w:hAnsi="PT Serif" w:cs="PT Serif"/>
          <w:b/>
          <w:sz w:val="26"/>
        </w:rPr>
        <w:t xml:space="preserve">Более 8,6 млрд для бизнеса: </w:t>
      </w:r>
      <w:bookmarkStart w:id="0" w:name="_GoBack"/>
      <w:r>
        <w:rPr>
          <w:rFonts w:ascii="PT Serif" w:eastAsia="PT Serif" w:hAnsi="PT Serif" w:cs="PT Serif"/>
          <w:b/>
          <w:sz w:val="26"/>
        </w:rPr>
        <w:t>итоги работы инфраструктуры поддержки предпринимательства в 2025 году</w:t>
      </w:r>
    </w:p>
    <w:bookmarkEnd w:id="0"/>
    <w:p w:rsidR="004E2331" w:rsidRDefault="00C71340">
      <w:pPr>
        <w:jc w:val="both"/>
        <w:rPr>
          <w:rFonts w:ascii="PT Serif" w:eastAsia="PT Serif" w:hAnsi="PT Serif" w:cs="PT Serif"/>
          <w:sz w:val="26"/>
        </w:rPr>
      </w:pPr>
      <w:r>
        <w:rPr>
          <w:rFonts w:ascii="PT Serif" w:eastAsia="PT Serif" w:hAnsi="PT Serif" w:cs="PT Serif"/>
          <w:sz w:val="26"/>
        </w:rPr>
        <w:t xml:space="preserve">В региональном центре «Мой бизнес» состоялось итоговое совещание по результатам деятельности объектов инфраструктуры поддержки предпринимательства Алтайского </w:t>
      </w:r>
      <w:r>
        <w:rPr>
          <w:rFonts w:ascii="PT Serif" w:eastAsia="PT Serif" w:hAnsi="PT Serif" w:cs="PT Serif"/>
          <w:sz w:val="26"/>
        </w:rPr>
        <w:t xml:space="preserve">края за 2025 год. Совещание провела начальник управления Алтайского края по развитию предпринимательства и рыночной инфраструктуры, председатель Общественного совета федерального партийного проекта «Предпринимательство» партии «ЕДИНАЯ РОССИЯ» Елена </w:t>
      </w:r>
      <w:proofErr w:type="spellStart"/>
      <w:r>
        <w:rPr>
          <w:rFonts w:ascii="PT Serif" w:eastAsia="PT Serif" w:hAnsi="PT Serif" w:cs="PT Serif"/>
          <w:sz w:val="26"/>
        </w:rPr>
        <w:t>Абдулае</w:t>
      </w:r>
      <w:r>
        <w:rPr>
          <w:rFonts w:ascii="PT Serif" w:eastAsia="PT Serif" w:hAnsi="PT Serif" w:cs="PT Serif"/>
          <w:sz w:val="26"/>
        </w:rPr>
        <w:t>ва</w:t>
      </w:r>
      <w:proofErr w:type="spellEnd"/>
      <w:r>
        <w:rPr>
          <w:rFonts w:ascii="PT Serif" w:eastAsia="PT Serif" w:hAnsi="PT Serif" w:cs="PT Serif"/>
          <w:sz w:val="26"/>
        </w:rPr>
        <w:t xml:space="preserve"> с участием </w:t>
      </w:r>
      <w:proofErr w:type="gramStart"/>
      <w:r>
        <w:rPr>
          <w:rFonts w:ascii="PT Serif" w:eastAsia="PT Serif" w:hAnsi="PT Serif" w:cs="PT Serif"/>
          <w:sz w:val="26"/>
        </w:rPr>
        <w:t>руководителя</w:t>
      </w:r>
      <w:proofErr w:type="gramEnd"/>
      <w:r>
        <w:rPr>
          <w:rFonts w:ascii="PT Serif" w:eastAsia="PT Serif" w:hAnsi="PT Serif" w:cs="PT Serif"/>
          <w:sz w:val="26"/>
        </w:rPr>
        <w:t xml:space="preserve"> НО Алтайского фонд МСП Станислава Татаринцева, исполнительного директора Алтайского фонда финансирования предпринимательства Татьяна </w:t>
      </w:r>
      <w:proofErr w:type="spellStart"/>
      <w:r>
        <w:rPr>
          <w:rFonts w:ascii="PT Serif" w:eastAsia="PT Serif" w:hAnsi="PT Serif" w:cs="PT Serif"/>
          <w:sz w:val="26"/>
        </w:rPr>
        <w:t>Фельде</w:t>
      </w:r>
      <w:proofErr w:type="spellEnd"/>
      <w:r>
        <w:rPr>
          <w:rFonts w:ascii="PT Serif" w:eastAsia="PT Serif" w:hAnsi="PT Serif" w:cs="PT Serif"/>
          <w:sz w:val="26"/>
        </w:rPr>
        <w:t xml:space="preserve"> и сотрудников фондов.</w:t>
      </w:r>
    </w:p>
    <w:p w:rsidR="004E2331" w:rsidRDefault="00C71340">
      <w:pPr>
        <w:jc w:val="both"/>
        <w:rPr>
          <w:rFonts w:ascii="PT Serif" w:eastAsia="PT Serif" w:hAnsi="PT Serif" w:cs="PT Serif"/>
          <w:sz w:val="26"/>
        </w:rPr>
      </w:pPr>
      <w:r>
        <w:rPr>
          <w:rFonts w:ascii="PT Serif" w:eastAsia="PT Serif" w:hAnsi="PT Serif" w:cs="PT Serif"/>
          <w:sz w:val="26"/>
        </w:rPr>
        <w:t>Алтайский фонд МСП продемонстрировал уверенный рост по всем направл</w:t>
      </w:r>
      <w:r>
        <w:rPr>
          <w:rFonts w:ascii="PT Serif" w:eastAsia="PT Serif" w:hAnsi="PT Serif" w:cs="PT Serif"/>
          <w:sz w:val="26"/>
        </w:rPr>
        <w:t xml:space="preserve">ениям. Гарантийный капитал организации увеличился на 144,6 млн рублей и достиг 1,17 млрд рублей. За год фонд предоставил поручительства на общую сумму 1,03 млрд рублей, что позволило предпринимателям привлечь кредитных средств на 7,25 млрд рублей. </w:t>
      </w:r>
    </w:p>
    <w:p w:rsidR="004E2331" w:rsidRDefault="00C71340">
      <w:pPr>
        <w:jc w:val="both"/>
        <w:rPr>
          <w:rFonts w:ascii="PT Serif" w:eastAsia="PT Serif" w:hAnsi="PT Serif" w:cs="PT Serif"/>
          <w:sz w:val="26"/>
        </w:rPr>
      </w:pPr>
      <w:r>
        <w:rPr>
          <w:rFonts w:ascii="PT Serif" w:eastAsia="PT Serif" w:hAnsi="PT Serif" w:cs="PT Serif"/>
          <w:sz w:val="26"/>
        </w:rPr>
        <w:t>Центр п</w:t>
      </w:r>
      <w:r>
        <w:rPr>
          <w:rFonts w:ascii="PT Serif" w:eastAsia="PT Serif" w:hAnsi="PT Serif" w:cs="PT Serif"/>
          <w:sz w:val="26"/>
        </w:rPr>
        <w:t>оддержки предпринимательства организовал 95 образовательных мероприятий, участниками которых стали более 3,5 тыс. человек. Активно развивалась выставочная деятельность: алтайские компании представили свою продукцию на крупнейших площадках страны – «</w:t>
      </w:r>
      <w:proofErr w:type="spellStart"/>
      <w:r>
        <w:rPr>
          <w:rFonts w:ascii="PT Serif" w:eastAsia="PT Serif" w:hAnsi="PT Serif" w:cs="PT Serif"/>
          <w:sz w:val="26"/>
        </w:rPr>
        <w:t>WorldFo</w:t>
      </w:r>
      <w:r>
        <w:rPr>
          <w:rFonts w:ascii="PT Serif" w:eastAsia="PT Serif" w:hAnsi="PT Serif" w:cs="PT Serif"/>
          <w:sz w:val="26"/>
        </w:rPr>
        <w:t>od</w:t>
      </w:r>
      <w:proofErr w:type="spellEnd"/>
      <w:r>
        <w:rPr>
          <w:rFonts w:ascii="PT Serif" w:eastAsia="PT Serif" w:hAnsi="PT Serif" w:cs="PT Serif"/>
          <w:sz w:val="26"/>
        </w:rPr>
        <w:t xml:space="preserve"> </w:t>
      </w:r>
      <w:proofErr w:type="spellStart"/>
      <w:r>
        <w:rPr>
          <w:rFonts w:ascii="PT Serif" w:eastAsia="PT Serif" w:hAnsi="PT Serif" w:cs="PT Serif"/>
          <w:sz w:val="26"/>
        </w:rPr>
        <w:t>Moscow</w:t>
      </w:r>
      <w:proofErr w:type="spellEnd"/>
      <w:r>
        <w:rPr>
          <w:rFonts w:ascii="PT Serif" w:eastAsia="PT Serif" w:hAnsi="PT Serif" w:cs="PT Serif"/>
          <w:sz w:val="26"/>
        </w:rPr>
        <w:t xml:space="preserve"> 2025», «</w:t>
      </w:r>
      <w:proofErr w:type="spellStart"/>
      <w:r>
        <w:rPr>
          <w:rFonts w:ascii="PT Serif" w:eastAsia="PT Serif" w:hAnsi="PT Serif" w:cs="PT Serif"/>
          <w:sz w:val="26"/>
        </w:rPr>
        <w:t>Петерфуд</w:t>
      </w:r>
      <w:proofErr w:type="spellEnd"/>
      <w:r>
        <w:rPr>
          <w:rFonts w:ascii="PT Serif" w:eastAsia="PT Serif" w:hAnsi="PT Serif" w:cs="PT Serif"/>
          <w:sz w:val="26"/>
        </w:rPr>
        <w:t xml:space="preserve">», </w:t>
      </w:r>
      <w:proofErr w:type="spellStart"/>
      <w:r>
        <w:rPr>
          <w:rFonts w:ascii="PT Serif" w:eastAsia="PT Serif" w:hAnsi="PT Serif" w:cs="PT Serif"/>
          <w:sz w:val="26"/>
        </w:rPr>
        <w:t>InterCHARM</w:t>
      </w:r>
      <w:proofErr w:type="spellEnd"/>
      <w:r>
        <w:rPr>
          <w:rFonts w:ascii="PT Serif" w:eastAsia="PT Serif" w:hAnsi="PT Serif" w:cs="PT Serif"/>
          <w:sz w:val="26"/>
        </w:rPr>
        <w:t>.</w:t>
      </w:r>
    </w:p>
    <w:p w:rsidR="004E2331" w:rsidRDefault="00C71340">
      <w:pPr>
        <w:jc w:val="both"/>
        <w:rPr>
          <w:rFonts w:ascii="PT Serif" w:eastAsia="PT Serif" w:hAnsi="PT Serif" w:cs="PT Serif"/>
          <w:sz w:val="26"/>
        </w:rPr>
      </w:pPr>
      <w:r>
        <w:rPr>
          <w:rFonts w:ascii="PT Serif" w:eastAsia="PT Serif" w:hAnsi="PT Serif" w:cs="PT Serif"/>
          <w:sz w:val="26"/>
        </w:rPr>
        <w:t>Центр инноваций социальной сферы оказал поддержку 165 социальным предприятиям, провел образовательные программы для участников и ветеранов СВО, а также членов их семей («</w:t>
      </w:r>
      <w:proofErr w:type="spellStart"/>
      <w:r>
        <w:rPr>
          <w:rFonts w:ascii="PT Serif" w:eastAsia="PT Serif" w:hAnsi="PT Serif" w:cs="PT Serif"/>
          <w:sz w:val="26"/>
        </w:rPr>
        <w:t>СВОй</w:t>
      </w:r>
      <w:proofErr w:type="spellEnd"/>
      <w:r>
        <w:rPr>
          <w:rFonts w:ascii="PT Serif" w:eastAsia="PT Serif" w:hAnsi="PT Serif" w:cs="PT Serif"/>
          <w:sz w:val="26"/>
        </w:rPr>
        <w:t xml:space="preserve"> бизнес», «Начни </w:t>
      </w:r>
      <w:proofErr w:type="spellStart"/>
      <w:r>
        <w:rPr>
          <w:rFonts w:ascii="PT Serif" w:eastAsia="PT Serif" w:hAnsi="PT Serif" w:cs="PT Serif"/>
          <w:sz w:val="26"/>
        </w:rPr>
        <w:t>СВОё</w:t>
      </w:r>
      <w:proofErr w:type="spellEnd"/>
      <w:r>
        <w:rPr>
          <w:rFonts w:ascii="PT Serif" w:eastAsia="PT Serif" w:hAnsi="PT Serif" w:cs="PT Serif"/>
          <w:sz w:val="26"/>
        </w:rPr>
        <w:t xml:space="preserve"> дело»), организовал</w:t>
      </w:r>
      <w:r>
        <w:rPr>
          <w:rFonts w:ascii="PT Serif" w:eastAsia="PT Serif" w:hAnsi="PT Serif" w:cs="PT Serif"/>
          <w:sz w:val="26"/>
        </w:rPr>
        <w:t xml:space="preserve"> серию фестивалей социальных предпринимателей, способствующих популяризации в регионе данного вида бизнеса.</w:t>
      </w:r>
    </w:p>
    <w:p w:rsidR="004E2331" w:rsidRDefault="00C71340">
      <w:pPr>
        <w:jc w:val="both"/>
      </w:pPr>
      <w:r>
        <w:rPr>
          <w:rFonts w:ascii="PT Serif" w:eastAsia="PT Serif" w:hAnsi="PT Serif" w:cs="PT Serif"/>
          <w:sz w:val="26"/>
        </w:rPr>
        <w:t>Центр поддержки экспорта содействовал заключению 75 экспортных контрактов с общим объемом отгрузок на 14,1 млн долларов США. При его поддержке 25 ко</w:t>
      </w:r>
      <w:r>
        <w:rPr>
          <w:rFonts w:ascii="PT Serif" w:eastAsia="PT Serif" w:hAnsi="PT Serif" w:cs="PT Serif"/>
          <w:sz w:val="26"/>
        </w:rPr>
        <w:t>мпаний приняли участие в международных бизнес-миссиях в Турцию, Узбекистан, Беларусь, Китай и Казахстан.</w:t>
      </w:r>
    </w:p>
    <w:p w:rsidR="004E2331" w:rsidRDefault="00C71340">
      <w:pPr>
        <w:jc w:val="both"/>
      </w:pPr>
      <w:r>
        <w:rPr>
          <w:rFonts w:ascii="PT Serif" w:eastAsia="PT Serif" w:hAnsi="PT Serif" w:cs="PT Serif"/>
          <w:sz w:val="26"/>
        </w:rPr>
        <w:t>Центр креативных индустрий за год оказал порядка 3 тыс. услуг, провел масштабный III Форум креативных индустрий «Мой креатив. Мой бизнес», собравший бо</w:t>
      </w:r>
      <w:r>
        <w:rPr>
          <w:rFonts w:ascii="PT Serif" w:eastAsia="PT Serif" w:hAnsi="PT Serif" w:cs="PT Serif"/>
          <w:sz w:val="26"/>
        </w:rPr>
        <w:t>лее 600 участников, организовал коллективный стенд алтайских производителей на выставке-ярмарке «Ладья. Зимняя сказка – 2025».</w:t>
      </w:r>
    </w:p>
    <w:p w:rsidR="004E2331" w:rsidRDefault="00C71340">
      <w:pPr>
        <w:jc w:val="both"/>
      </w:pPr>
      <w:r>
        <w:rPr>
          <w:rFonts w:ascii="PT Serif" w:eastAsia="PT Serif" w:hAnsi="PT Serif" w:cs="PT Serif"/>
          <w:sz w:val="26"/>
        </w:rPr>
        <w:t>Алтайский фонд финансирования предпринимательства завершил год с капиталом 2,09 млрд рублей, увеличив его за счет собственных сре</w:t>
      </w:r>
      <w:r>
        <w:rPr>
          <w:rFonts w:ascii="PT Serif" w:eastAsia="PT Serif" w:hAnsi="PT Serif" w:cs="PT Serif"/>
          <w:sz w:val="26"/>
        </w:rPr>
        <w:t xml:space="preserve">дств. Фондом предоставлено 454 займа на общую сумму 1,37 млрд рублей. Наибольший объем средств получили компании сферы услуг (36%), производства и строительства (26%), торговли (23%) </w:t>
      </w:r>
      <w:r>
        <w:rPr>
          <w:rFonts w:ascii="PT Serif" w:eastAsia="PT Serif" w:hAnsi="PT Serif" w:cs="PT Serif"/>
          <w:sz w:val="26"/>
        </w:rPr>
        <w:lastRenderedPageBreak/>
        <w:t>и сельского хозяйства (15%). Активно поддерживались начинающие предприним</w:t>
      </w:r>
      <w:r>
        <w:rPr>
          <w:rFonts w:ascii="PT Serif" w:eastAsia="PT Serif" w:hAnsi="PT Serif" w:cs="PT Serif"/>
          <w:sz w:val="26"/>
        </w:rPr>
        <w:t xml:space="preserve">атели (61 </w:t>
      </w:r>
      <w:proofErr w:type="spellStart"/>
      <w:r>
        <w:rPr>
          <w:rFonts w:ascii="PT Serif" w:eastAsia="PT Serif" w:hAnsi="PT Serif" w:cs="PT Serif"/>
          <w:sz w:val="26"/>
        </w:rPr>
        <w:t>займ</w:t>
      </w:r>
      <w:proofErr w:type="spellEnd"/>
      <w:r>
        <w:rPr>
          <w:rFonts w:ascii="PT Serif" w:eastAsia="PT Serif" w:hAnsi="PT Serif" w:cs="PT Serif"/>
          <w:sz w:val="26"/>
        </w:rPr>
        <w:t xml:space="preserve"> на 130 млн рублей) и бизнес-проекты женщин (91 </w:t>
      </w:r>
      <w:proofErr w:type="spellStart"/>
      <w:r>
        <w:rPr>
          <w:rFonts w:ascii="PT Serif" w:eastAsia="PT Serif" w:hAnsi="PT Serif" w:cs="PT Serif"/>
          <w:sz w:val="26"/>
        </w:rPr>
        <w:t>займ</w:t>
      </w:r>
      <w:proofErr w:type="spellEnd"/>
      <w:r>
        <w:rPr>
          <w:rFonts w:ascii="PT Serif" w:eastAsia="PT Serif" w:hAnsi="PT Serif" w:cs="PT Serif"/>
          <w:sz w:val="26"/>
        </w:rPr>
        <w:t xml:space="preserve"> на 270 млн рублей). Через цифровую платформу МСП в 2025 году было подана 201 заявка, предоставлено 173 займа – темп роста к прошлому году составил 134%.</w:t>
      </w:r>
    </w:p>
    <w:p w:rsidR="004E2331" w:rsidRDefault="00C71340">
      <w:pPr>
        <w:jc w:val="both"/>
      </w:pPr>
      <w:r>
        <w:rPr>
          <w:rFonts w:ascii="PT Serif" w:eastAsia="PT Serif" w:hAnsi="PT Serif" w:cs="PT Serif"/>
          <w:sz w:val="26"/>
        </w:rPr>
        <w:t xml:space="preserve">Подводя итоги совещания, Елена </w:t>
      </w:r>
      <w:proofErr w:type="spellStart"/>
      <w:r>
        <w:rPr>
          <w:rFonts w:ascii="PT Serif" w:eastAsia="PT Serif" w:hAnsi="PT Serif" w:cs="PT Serif"/>
          <w:sz w:val="26"/>
        </w:rPr>
        <w:t>Абдул</w:t>
      </w:r>
      <w:r>
        <w:rPr>
          <w:rFonts w:ascii="PT Serif" w:eastAsia="PT Serif" w:hAnsi="PT Serif" w:cs="PT Serif"/>
          <w:sz w:val="26"/>
        </w:rPr>
        <w:t>аева</w:t>
      </w:r>
      <w:proofErr w:type="spellEnd"/>
      <w:r>
        <w:rPr>
          <w:rFonts w:ascii="PT Serif" w:eastAsia="PT Serif" w:hAnsi="PT Serif" w:cs="PT Serif"/>
          <w:sz w:val="26"/>
        </w:rPr>
        <w:t xml:space="preserve"> дала высокую оценку работе инфраструктуры поддержки бизнеса:</w:t>
      </w:r>
    </w:p>
    <w:p w:rsidR="004E2331" w:rsidRDefault="00C71340">
      <w:pPr>
        <w:jc w:val="both"/>
      </w:pPr>
      <w:r>
        <w:rPr>
          <w:rFonts w:ascii="PT Serif" w:eastAsia="PT Serif" w:hAnsi="PT Serif" w:cs="PT Serif"/>
          <w:sz w:val="26"/>
        </w:rPr>
        <w:t>«Результаты 2025 года убедительно доказывают эффективность выстроенной в Алтайском крае системы поддержки предпринимательства. Совокупный объем привлеченного финансирования только благодаря поручительствам и займам наших фондов превысил 8,6 млрд рублей – э</w:t>
      </w:r>
      <w:r>
        <w:rPr>
          <w:rFonts w:ascii="PT Serif" w:eastAsia="PT Serif" w:hAnsi="PT Serif" w:cs="PT Serif"/>
          <w:sz w:val="26"/>
        </w:rPr>
        <w:t>то рекордный показатель. Важно, что поддержка оказывается адресно и достигает ключевых для экономики региона секторов: производства, сельского хозяйства, социального бизнеса. Мы видим растущий запрос со стороны участников СВО, женщин-предпринимателей, креа</w:t>
      </w:r>
      <w:r>
        <w:rPr>
          <w:rFonts w:ascii="PT Serif" w:eastAsia="PT Serif" w:hAnsi="PT Serif" w:cs="PT Serif"/>
          <w:sz w:val="26"/>
        </w:rPr>
        <w:t xml:space="preserve">тивных индустрий – и фонды оперативно адаптируют свои «продукты» под эти потребности. Такая системная работа, организованная по поручению губернатора Алтайского края В. П. Томенко, вносит весомый вклад в достижение целей национального проекта «Эффективная </w:t>
      </w:r>
      <w:r>
        <w:rPr>
          <w:rFonts w:ascii="PT Serif" w:eastAsia="PT Serif" w:hAnsi="PT Serif" w:cs="PT Serif"/>
          <w:sz w:val="26"/>
        </w:rPr>
        <w:t>и конкурентная экономика» и позволяет алтайскому бизнесу смотреть в будущее несмотря на вызовы. Благодарю команды фондов за профессионализм и нацеленность на результат».</w:t>
      </w:r>
    </w:p>
    <w:p w:rsidR="004E2331" w:rsidRDefault="00C71340">
      <w:pPr>
        <w:jc w:val="both"/>
      </w:pPr>
      <w:r>
        <w:rPr>
          <w:rFonts w:ascii="PT Serif" w:eastAsia="PT Serif" w:hAnsi="PT Serif" w:cs="PT Serif"/>
          <w:sz w:val="26"/>
        </w:rPr>
        <w:t>Участники совещания отметили, что все плановые показатели национального проекта достиг</w:t>
      </w:r>
      <w:r>
        <w:rPr>
          <w:rFonts w:ascii="PT Serif" w:eastAsia="PT Serif" w:hAnsi="PT Serif" w:cs="PT Serif"/>
          <w:sz w:val="26"/>
        </w:rPr>
        <w:t>нуты, а по ряду направлений – существенно перевыполнены. В 2026 году работа фондов продолжится с акцентом на поддержку приоритетных категорий предпринимателей, в том числе креативных индустрий.</w:t>
      </w:r>
    </w:p>
    <w:sectPr w:rsidR="004E23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40" w:rsidRDefault="00C71340">
      <w:pPr>
        <w:spacing w:after="0" w:line="240" w:lineRule="auto"/>
      </w:pPr>
      <w:r>
        <w:separator/>
      </w:r>
    </w:p>
  </w:endnote>
  <w:endnote w:type="continuationSeparator" w:id="0">
    <w:p w:rsidR="00C71340" w:rsidRDefault="00C7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40" w:rsidRDefault="00C71340">
      <w:pPr>
        <w:spacing w:after="0" w:line="240" w:lineRule="auto"/>
      </w:pPr>
      <w:r>
        <w:separator/>
      </w:r>
    </w:p>
  </w:footnote>
  <w:footnote w:type="continuationSeparator" w:id="0">
    <w:p w:rsidR="00C71340" w:rsidRDefault="00C7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31" w:rsidRDefault="004E233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C70"/>
    <w:multiLevelType w:val="hybridMultilevel"/>
    <w:tmpl w:val="B7AA9276"/>
    <w:lvl w:ilvl="0" w:tplc="5D66A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9868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F805E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EB001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4AA222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D7681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93A1D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A108D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800F6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A7D4C"/>
    <w:multiLevelType w:val="hybridMultilevel"/>
    <w:tmpl w:val="26387F2A"/>
    <w:lvl w:ilvl="0" w:tplc="EFA42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905A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57ACF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FA636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BC2A4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DCE953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4828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9A6ED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D8C2D6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776E4"/>
    <w:multiLevelType w:val="hybridMultilevel"/>
    <w:tmpl w:val="CACA4248"/>
    <w:lvl w:ilvl="0" w:tplc="2690B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58B5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3E8A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EAEA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145B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32AA4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2A20A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4C1B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1638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C90034"/>
    <w:multiLevelType w:val="hybridMultilevel"/>
    <w:tmpl w:val="0102F72E"/>
    <w:lvl w:ilvl="0" w:tplc="3B06D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EE6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50D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9ABF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0881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46AD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D8C4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7EF4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1801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23172"/>
    <w:multiLevelType w:val="hybridMultilevel"/>
    <w:tmpl w:val="56A0C3CA"/>
    <w:lvl w:ilvl="0" w:tplc="99E8C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B214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F47E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636B9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31AEF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62F5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BD441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FD424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F860B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1B7C11"/>
    <w:multiLevelType w:val="hybridMultilevel"/>
    <w:tmpl w:val="F5149656"/>
    <w:lvl w:ilvl="0" w:tplc="D568808A">
      <w:start w:val="1"/>
      <w:numFmt w:val="decimal"/>
      <w:lvlText w:val="%1."/>
      <w:lvlJc w:val="left"/>
      <w:pPr>
        <w:ind w:left="1429" w:hanging="360"/>
      </w:pPr>
    </w:lvl>
    <w:lvl w:ilvl="1" w:tplc="AB207BA6">
      <w:start w:val="1"/>
      <w:numFmt w:val="lowerLetter"/>
      <w:lvlText w:val="%2."/>
      <w:lvlJc w:val="left"/>
      <w:pPr>
        <w:ind w:left="2149" w:hanging="360"/>
      </w:pPr>
    </w:lvl>
    <w:lvl w:ilvl="2" w:tplc="1C8EC7E6">
      <w:start w:val="1"/>
      <w:numFmt w:val="lowerRoman"/>
      <w:lvlText w:val="%3."/>
      <w:lvlJc w:val="right"/>
      <w:pPr>
        <w:ind w:left="2869" w:hanging="180"/>
      </w:pPr>
    </w:lvl>
    <w:lvl w:ilvl="3" w:tplc="684E1258">
      <w:start w:val="1"/>
      <w:numFmt w:val="decimal"/>
      <w:lvlText w:val="%4."/>
      <w:lvlJc w:val="left"/>
      <w:pPr>
        <w:ind w:left="3589" w:hanging="360"/>
      </w:pPr>
    </w:lvl>
    <w:lvl w:ilvl="4" w:tplc="365E0746">
      <w:start w:val="1"/>
      <w:numFmt w:val="lowerLetter"/>
      <w:lvlText w:val="%5."/>
      <w:lvlJc w:val="left"/>
      <w:pPr>
        <w:ind w:left="4309" w:hanging="360"/>
      </w:pPr>
    </w:lvl>
    <w:lvl w:ilvl="5" w:tplc="87B8221A">
      <w:start w:val="1"/>
      <w:numFmt w:val="lowerRoman"/>
      <w:lvlText w:val="%6."/>
      <w:lvlJc w:val="right"/>
      <w:pPr>
        <w:ind w:left="5029" w:hanging="180"/>
      </w:pPr>
    </w:lvl>
    <w:lvl w:ilvl="6" w:tplc="C0C49D4E">
      <w:start w:val="1"/>
      <w:numFmt w:val="decimal"/>
      <w:lvlText w:val="%7."/>
      <w:lvlJc w:val="left"/>
      <w:pPr>
        <w:ind w:left="5749" w:hanging="360"/>
      </w:pPr>
    </w:lvl>
    <w:lvl w:ilvl="7" w:tplc="449C74E4">
      <w:start w:val="1"/>
      <w:numFmt w:val="lowerLetter"/>
      <w:lvlText w:val="%8."/>
      <w:lvlJc w:val="left"/>
      <w:pPr>
        <w:ind w:left="6469" w:hanging="360"/>
      </w:pPr>
    </w:lvl>
    <w:lvl w:ilvl="8" w:tplc="B410534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4782965"/>
    <w:multiLevelType w:val="hybridMultilevel"/>
    <w:tmpl w:val="74F8B682"/>
    <w:lvl w:ilvl="0" w:tplc="1C8A4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8469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8D0EC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0C46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4D021A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C29B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252FC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E68674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FAA5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2B17A3"/>
    <w:multiLevelType w:val="hybridMultilevel"/>
    <w:tmpl w:val="EC8EBA9A"/>
    <w:lvl w:ilvl="0" w:tplc="18EECF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7CC4CA7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A75E592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E50461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B542E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5010D4D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DEF053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A90B37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8FC6430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8" w15:restartNumberingAfterBreak="0">
    <w:nsid w:val="6D4E2A98"/>
    <w:multiLevelType w:val="hybridMultilevel"/>
    <w:tmpl w:val="A4C00100"/>
    <w:lvl w:ilvl="0" w:tplc="D7BE0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364F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1285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B2F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2227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6E4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6A41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7496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18B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F761C"/>
    <w:multiLevelType w:val="hybridMultilevel"/>
    <w:tmpl w:val="D7B4C180"/>
    <w:lvl w:ilvl="0" w:tplc="FBD6E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EE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E2B7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F272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40D1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928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6CC9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12E9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B405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4212E"/>
    <w:multiLevelType w:val="hybridMultilevel"/>
    <w:tmpl w:val="2FBCAD30"/>
    <w:lvl w:ilvl="0" w:tplc="C122B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EE19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53859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8FCB9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1F048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0685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93E1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88270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670C9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31"/>
    <w:rsid w:val="004E2331"/>
    <w:rsid w:val="00B2186C"/>
    <w:rsid w:val="00C7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EECE"/>
  <w15:docId w15:val="{D08F9A68-0E4C-4F4C-9F82-5DEBEEF4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InformRes</cp:lastModifiedBy>
  <cp:revision>42</cp:revision>
  <dcterms:created xsi:type="dcterms:W3CDTF">2025-02-12T14:27:00Z</dcterms:created>
  <dcterms:modified xsi:type="dcterms:W3CDTF">2026-03-16T02:27:00Z</dcterms:modified>
</cp:coreProperties>
</file>