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0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b/>
          <w:sz w:val="26"/>
          <w:highlight w:val="none"/>
        </w:rPr>
      </w:pPr>
      <w:r>
        <w:rPr>
          <w:rFonts w:ascii="PT Serif" w:hAnsi="PT Serif" w:cs="PT Serif" w:eastAsia="PT Serif"/>
          <w:b/>
          <w:sz w:val="26"/>
          <w:highlight w:val="none"/>
        </w:rPr>
        <w:t xml:space="preserve">Алтайский край вошел в число регионов-лидеров по оказанной финансовой поддержке малому и среднему бизнесу</w:t>
      </w:r>
      <w:r>
        <w:rPr>
          <w:b/>
        </w:rPr>
      </w:r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Почти 15,7 млрд рублей привлекли МСП легкой промышленности России за счет господдержки.</w:t>
      </w:r>
      <w:r>
        <w:rPr>
          <w:rFonts w:ascii="PT Serif" w:hAnsi="PT Serif" w:cs="PT Serif" w:eastAsia="PT Serif"/>
          <w:sz w:val="26"/>
          <w:highlight w:val="none"/>
        </w:rPr>
      </w:r>
    </w:p>
    <w:p>
      <w:pPr>
        <w:jc w:val="both"/>
      </w:pPr>
      <w:r>
        <w:rPr>
          <w:rFonts w:ascii="PT Serif" w:hAnsi="PT Serif" w:cs="PT Serif" w:eastAsia="PT Serif"/>
          <w:sz w:val="26"/>
          <w:highlight w:val="none"/>
        </w:rPr>
        <w:t xml:space="preserve">За полгода 2024 года почти 15,7 млрд рублей средств по 900 кредитам привлекли компании в сфере легкой промышленности на льготных условиях и с поручительствами Корпорации МСП, региональных гарантийных организаций.  </w:t>
      </w:r>
      <w:r>
        <w:rPr>
          <w:rFonts w:ascii="PT Serif" w:hAnsi="PT Serif" w:cs="PT Serif" w:eastAsia="PT Serif"/>
          <w:sz w:val="26"/>
          <w:highlight w:val="none"/>
        </w:rPr>
      </w:r>
    </w:p>
    <w:p>
      <w:pPr>
        <w:jc w:val="both"/>
      </w:pPr>
      <w:r>
        <w:rPr>
          <w:rFonts w:ascii="PT Serif" w:hAnsi="PT Serif" w:cs="PT Serif" w:eastAsia="PT Serif"/>
          <w:sz w:val="26"/>
          <w:highlight w:val="none"/>
        </w:rPr>
        <w:t xml:space="preserve">«Из них более 10 млрд рублей получили малые и микропредприятия, которым труднее всего привлекать банковское финансирование. Рост в количестве поддержанных кредитов составил 33%, объем поддержки сохранился на уровне 2023 года», - рассказал генеральный директор</w:t>
      </w:r>
      <w:r>
        <w:rPr>
          <w:rFonts w:ascii="PT Serif" w:hAnsi="PT Serif" w:cs="PT Serif" w:eastAsia="PT Serif"/>
          <w:sz w:val="26"/>
          <w:highlight w:val="none"/>
        </w:rPr>
        <w:t xml:space="preserve"> Корпорации МСП Александр Исаевич.   </w:t>
      </w:r>
      <w:r>
        <w:rPr>
          <w:rFonts w:ascii="PT Serif" w:hAnsi="PT Serif" w:cs="PT Serif" w:eastAsia="PT Serif"/>
          <w:sz w:val="26"/>
          <w:highlight w:val="none"/>
        </w:rPr>
      </w:r>
    </w:p>
    <w:p>
      <w:pPr>
        <w:jc w:val="both"/>
      </w:pPr>
      <w:r>
        <w:rPr>
          <w:rFonts w:ascii="PT Serif" w:hAnsi="PT Serif" w:cs="PT Serif" w:eastAsia="PT Serif"/>
          <w:sz w:val="26"/>
          <w:highlight w:val="none"/>
        </w:rPr>
        <w:t xml:space="preserve">Среди регионов-лидеров по оказанной финансовой господдержке бизнес Москвы (2,9 млрд рублей), Ивановской области (2,2 млрд рублей), Московской области (1,1 млрд рублей), Алтайского края и Нижегородской области (по 0,7 млрд рублей), Смоленской и Свердловской </w:t>
      </w:r>
      <w:r>
        <w:rPr>
          <w:rFonts w:ascii="PT Serif" w:hAnsi="PT Serif" w:cs="PT Serif" w:eastAsia="PT Serif"/>
          <w:sz w:val="26"/>
          <w:highlight w:val="none"/>
        </w:rPr>
        <w:t xml:space="preserve">областей (по 0,69 млрд рублей).</w:t>
      </w:r>
      <w:r>
        <w:rPr>
          <w:rFonts w:ascii="PT Serif" w:hAnsi="PT Serif" w:cs="PT Serif" w:eastAsia="PT Serif"/>
          <w:sz w:val="26"/>
          <w:highlight w:val="none"/>
        </w:rPr>
      </w:r>
    </w:p>
    <w:p>
      <w:pPr>
        <w:jc w:val="both"/>
      </w:pPr>
      <w:r>
        <w:rPr>
          <w:rFonts w:ascii="PT Serif" w:hAnsi="PT Serif" w:cs="PT Serif" w:eastAsia="PT Serif"/>
          <w:sz w:val="26"/>
          <w:highlight w:val="none"/>
        </w:rPr>
        <w:t xml:space="preserve">Также более 200 компаний стали участниками проекта «МСП шьет», в рамках которого получили поддержку в сбыте своей продукции и сопровождение по мерам государственной поддержки. Проект «МСП шьет» был запущен в начале 2024 года для развития отечественных произ</w:t>
      </w:r>
      <w:r>
        <w:rPr>
          <w:rFonts w:ascii="PT Serif" w:hAnsi="PT Serif" w:cs="PT Serif" w:eastAsia="PT Serif"/>
          <w:sz w:val="26"/>
          <w:highlight w:val="none"/>
        </w:rPr>
        <w:t xml:space="preserve">водителей одежды, обуви, аксессуаров и косметики. </w:t>
      </w: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  <w:t xml:space="preserve">В рамках проекта также прошел акселератор индустрии моды и красоты. Участники программы занимались привлечением клиентов, оптимизацией затрат на бизнес-процессы, развитием маркетинговых стратегий. </w:t>
      </w: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Ранее Минэкономразвития сообщило, что за первое полугодие 2024 года благодаря льготным кредитным и гарантийным программам малый и средний бизнес смог привлечь 692 млрд рублей. Вся финансовая поддержка была оказала в рамках национального проекта «Малое и среднее предпр</w:t>
      </w:r>
      <w:r>
        <w:rPr>
          <w:rFonts w:ascii="PT Serif" w:hAnsi="PT Serif" w:cs="PT Serif" w:eastAsia="PT Serif"/>
          <w:sz w:val="26"/>
          <w:highlight w:val="none"/>
        </w:rPr>
        <w:t xml:space="preserve">инимательство».</w:t>
      </w:r>
      <w:r>
        <w:rPr>
          <w:rFonts w:ascii="PT Serif" w:hAnsi="PT Serif" w:cs="PT Serif" w:eastAsia="PT Serif"/>
          <w:sz w:val="26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5"/>
    <w:link w:val="624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basedOn w:val="623"/>
    <w:next w:val="623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basedOn w:val="625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basedOn w:val="623"/>
    <w:next w:val="62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basedOn w:val="625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basedOn w:val="623"/>
    <w:next w:val="623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basedOn w:val="625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basedOn w:val="623"/>
    <w:next w:val="623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basedOn w:val="625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basedOn w:val="623"/>
    <w:next w:val="623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basedOn w:val="625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basedOn w:val="623"/>
    <w:next w:val="623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basedOn w:val="625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basedOn w:val="623"/>
    <w:next w:val="623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basedOn w:val="625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basedOn w:val="623"/>
    <w:next w:val="623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basedOn w:val="625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basedOn w:val="623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basedOn w:val="623"/>
    <w:next w:val="623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5"/>
    <w:link w:val="468"/>
    <w:uiPriority w:val="10"/>
    <w:rPr>
      <w:sz w:val="48"/>
      <w:szCs w:val="48"/>
    </w:rPr>
  </w:style>
  <w:style w:type="paragraph" w:styleId="470">
    <w:name w:val="Subtitle"/>
    <w:basedOn w:val="623"/>
    <w:next w:val="623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5"/>
    <w:link w:val="470"/>
    <w:uiPriority w:val="11"/>
    <w:rPr>
      <w:sz w:val="24"/>
      <w:szCs w:val="24"/>
    </w:rPr>
  </w:style>
  <w:style w:type="paragraph" w:styleId="472">
    <w:name w:val="Quote"/>
    <w:basedOn w:val="623"/>
    <w:next w:val="623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3"/>
    <w:next w:val="623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3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5"/>
    <w:link w:val="476"/>
    <w:uiPriority w:val="99"/>
  </w:style>
  <w:style w:type="paragraph" w:styleId="478">
    <w:name w:val="Footer"/>
    <w:basedOn w:val="623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5"/>
    <w:link w:val="478"/>
    <w:uiPriority w:val="99"/>
  </w:style>
  <w:style w:type="paragraph" w:styleId="480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5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5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paragraph" w:styleId="624">
    <w:name w:val="Heading 1"/>
    <w:basedOn w:val="623"/>
    <w:link w:val="63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rmal (Web)"/>
    <w:basedOn w:val="62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9">
    <w:name w:val="Hyperlink"/>
    <w:basedOn w:val="625"/>
    <w:uiPriority w:val="99"/>
    <w:unhideWhenUsed/>
    <w:rPr>
      <w:color w:val="0000FF"/>
      <w:u w:val="single"/>
    </w:rPr>
  </w:style>
  <w:style w:type="table" w:styleId="630">
    <w:name w:val="Table Grid"/>
    <w:basedOn w:val="626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1">
    <w:name w:val="Balloon Text"/>
    <w:basedOn w:val="623"/>
    <w:link w:val="63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2" w:customStyle="1">
    <w:name w:val="Текст выноски Знак"/>
    <w:basedOn w:val="625"/>
    <w:link w:val="631"/>
    <w:uiPriority w:val="99"/>
    <w:semiHidden/>
    <w:rPr>
      <w:rFonts w:ascii="Segoe UI" w:hAnsi="Segoe UI" w:cs="Segoe UI"/>
      <w:sz w:val="18"/>
      <w:szCs w:val="18"/>
    </w:rPr>
  </w:style>
  <w:style w:type="character" w:styleId="633" w:customStyle="1">
    <w:name w:val="Заголовок 1 Знак"/>
    <w:basedOn w:val="625"/>
    <w:link w:val="62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4">
    <w:name w:val="Strong"/>
    <w:basedOn w:val="625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37</cp:revision>
  <dcterms:created xsi:type="dcterms:W3CDTF">2023-02-20T08:28:00Z</dcterms:created>
  <dcterms:modified xsi:type="dcterms:W3CDTF">2024-08-14T04:10:36Z</dcterms:modified>
</cp:coreProperties>
</file>