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9EB" w:rsidRPr="001A09EB" w:rsidRDefault="001A09EB">
      <w:pPr>
        <w:rPr>
          <w:rFonts w:ascii="Times New Roman" w:hAnsi="Times New Roman" w:cs="Times New Roman"/>
          <w:b/>
          <w:sz w:val="32"/>
          <w:szCs w:val="32"/>
        </w:rPr>
      </w:pPr>
      <w:r w:rsidRPr="001A09EB">
        <w:rPr>
          <w:rFonts w:ascii="Times New Roman" w:hAnsi="Times New Roman" w:cs="Times New Roman"/>
          <w:b/>
          <w:sz w:val="32"/>
          <w:szCs w:val="32"/>
        </w:rPr>
        <w:t>Что изменится в налоговом законодательстве с 1 января?</w:t>
      </w:r>
    </w:p>
    <w:p w:rsidR="001A09EB" w:rsidRDefault="001A09EB" w:rsidP="001A09E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1A09EB">
        <w:rPr>
          <w:rFonts w:ascii="Times New Roman" w:hAnsi="Times New Roman" w:cs="Times New Roman"/>
          <w:b/>
          <w:sz w:val="32"/>
          <w:szCs w:val="32"/>
        </w:rPr>
        <w:t>Некоторые изменения в налоговом законодательстве с 01.01.2025</w:t>
      </w:r>
      <w:r w:rsidRPr="001A09EB">
        <w:rPr>
          <w:rFonts w:ascii="Times New Roman" w:hAnsi="Times New Roman" w:cs="Times New Roman"/>
          <w:b/>
          <w:sz w:val="32"/>
          <w:szCs w:val="32"/>
        </w:rPr>
        <w:t xml:space="preserve"> – об этом в материале Межрайонной ИФНС России №4 по Алтайскому краю.</w:t>
      </w:r>
    </w:p>
    <w:p w:rsidR="001A09EB" w:rsidRPr="001A09EB" w:rsidRDefault="001A09EB" w:rsidP="001A09E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1A09EB" w:rsidRPr="001A09EB" w:rsidRDefault="001A09EB" w:rsidP="001A09E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1A09EB">
        <w:rPr>
          <w:rFonts w:ascii="Times New Roman" w:hAnsi="Times New Roman" w:cs="Times New Roman"/>
          <w:b/>
          <w:sz w:val="32"/>
          <w:szCs w:val="32"/>
        </w:rPr>
        <w:t xml:space="preserve">Уточняют правила расчета пеней, начисляемых организациям </w:t>
      </w:r>
    </w:p>
    <w:p w:rsidR="001A09EB" w:rsidRDefault="001A09EB" w:rsidP="001A09E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1A09EB" w:rsidRDefault="001A09EB" w:rsidP="001A09E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A09EB">
        <w:rPr>
          <w:rFonts w:ascii="Times New Roman" w:hAnsi="Times New Roman" w:cs="Times New Roman"/>
          <w:sz w:val="32"/>
          <w:szCs w:val="32"/>
        </w:rPr>
        <w:t xml:space="preserve">С 1 января по 31 декабря 2025 года организациям установят 3 ставки для расчета пеней: </w:t>
      </w:r>
    </w:p>
    <w:p w:rsidR="001A09EB" w:rsidRDefault="001A09EB" w:rsidP="001A09E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A09EB">
        <w:rPr>
          <w:rFonts w:ascii="Times New Roman" w:hAnsi="Times New Roman" w:cs="Times New Roman"/>
          <w:sz w:val="32"/>
          <w:szCs w:val="32"/>
        </w:rPr>
        <w:t xml:space="preserve">- за первые 30 календарных дней просрочки </w:t>
      </w:r>
      <w:r>
        <w:rPr>
          <w:rFonts w:ascii="Times New Roman" w:hAnsi="Times New Roman" w:cs="Times New Roman"/>
          <w:sz w:val="32"/>
          <w:szCs w:val="32"/>
        </w:rPr>
        <w:t>–</w:t>
      </w:r>
      <w:r w:rsidRPr="001A09EB">
        <w:rPr>
          <w:rFonts w:ascii="Times New Roman" w:hAnsi="Times New Roman" w:cs="Times New Roman"/>
          <w:sz w:val="32"/>
          <w:szCs w:val="32"/>
        </w:rPr>
        <w:t xml:space="preserve"> 1/300 ставки ЦБ от суммы недоимки; </w:t>
      </w:r>
    </w:p>
    <w:p w:rsidR="001A09EB" w:rsidRDefault="001A09EB" w:rsidP="001A09E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A09EB">
        <w:rPr>
          <w:rFonts w:ascii="Times New Roman" w:hAnsi="Times New Roman" w:cs="Times New Roman"/>
          <w:sz w:val="32"/>
          <w:szCs w:val="32"/>
        </w:rPr>
        <w:t xml:space="preserve">- с 31-го по 90-й день </w:t>
      </w:r>
      <w:r>
        <w:rPr>
          <w:rFonts w:ascii="Times New Roman" w:hAnsi="Times New Roman" w:cs="Times New Roman"/>
          <w:sz w:val="32"/>
          <w:szCs w:val="32"/>
        </w:rPr>
        <w:t>–</w:t>
      </w:r>
      <w:r w:rsidRPr="001A09EB">
        <w:rPr>
          <w:rFonts w:ascii="Times New Roman" w:hAnsi="Times New Roman" w:cs="Times New Roman"/>
          <w:sz w:val="32"/>
          <w:szCs w:val="32"/>
        </w:rPr>
        <w:t xml:space="preserve"> 1/150; </w:t>
      </w:r>
    </w:p>
    <w:p w:rsidR="001A09EB" w:rsidRDefault="001A09EB" w:rsidP="001A09E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A09EB">
        <w:rPr>
          <w:rFonts w:ascii="Times New Roman" w:hAnsi="Times New Roman" w:cs="Times New Roman"/>
          <w:sz w:val="32"/>
          <w:szCs w:val="32"/>
        </w:rPr>
        <w:t xml:space="preserve">- с 91-го дня и по день оплаты </w:t>
      </w:r>
      <w:r>
        <w:rPr>
          <w:rFonts w:ascii="Times New Roman" w:hAnsi="Times New Roman" w:cs="Times New Roman"/>
          <w:sz w:val="32"/>
          <w:szCs w:val="32"/>
        </w:rPr>
        <w:t>–</w:t>
      </w:r>
      <w:r w:rsidRPr="001A09EB">
        <w:rPr>
          <w:rFonts w:ascii="Times New Roman" w:hAnsi="Times New Roman" w:cs="Times New Roman"/>
          <w:sz w:val="32"/>
          <w:szCs w:val="32"/>
        </w:rPr>
        <w:t xml:space="preserve"> 1/300. </w:t>
      </w:r>
    </w:p>
    <w:p w:rsidR="001A09EB" w:rsidRDefault="001A09EB" w:rsidP="001A09E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A09EB">
        <w:rPr>
          <w:rFonts w:ascii="Times New Roman" w:hAnsi="Times New Roman" w:cs="Times New Roman"/>
          <w:sz w:val="32"/>
          <w:szCs w:val="32"/>
        </w:rPr>
        <w:t xml:space="preserve">Временный порядок расчета пеней по фиксированной ставке 1/300 ключевой ставки Банка России больше не работает. Правило применяют по 31 декабря 2024 года независимо от того, сколько дней была просрочка. </w:t>
      </w:r>
    </w:p>
    <w:p w:rsidR="001A09EB" w:rsidRDefault="001A09EB" w:rsidP="001A09E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1A09EB" w:rsidRDefault="001A09EB" w:rsidP="001A09E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A09EB">
        <w:rPr>
          <w:rFonts w:ascii="Times New Roman" w:hAnsi="Times New Roman" w:cs="Times New Roman"/>
          <w:b/>
          <w:sz w:val="32"/>
          <w:szCs w:val="32"/>
        </w:rPr>
        <w:t>Действует новая прогрессивная шкала ставок НДФЛ</w:t>
      </w:r>
      <w:r w:rsidRPr="001A09EB">
        <w:rPr>
          <w:rFonts w:ascii="Times New Roman" w:hAnsi="Times New Roman" w:cs="Times New Roman"/>
          <w:sz w:val="32"/>
          <w:szCs w:val="32"/>
        </w:rPr>
        <w:t xml:space="preserve"> </w:t>
      </w:r>
    </w:p>
    <w:p w:rsidR="001A09EB" w:rsidRDefault="001A09EB" w:rsidP="001A09E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1A09EB" w:rsidRDefault="001A09EB" w:rsidP="001A09E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A09EB">
        <w:rPr>
          <w:rFonts w:ascii="Times New Roman" w:hAnsi="Times New Roman" w:cs="Times New Roman"/>
          <w:sz w:val="32"/>
          <w:szCs w:val="32"/>
        </w:rPr>
        <w:t xml:space="preserve">Для большинства доходов физлиц установлено 5 ставок: </w:t>
      </w:r>
    </w:p>
    <w:p w:rsidR="001A09EB" w:rsidRDefault="001A09EB" w:rsidP="001A09E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- 13% –</w:t>
      </w:r>
      <w:r w:rsidRPr="001A09EB">
        <w:rPr>
          <w:rFonts w:ascii="Times New Roman" w:hAnsi="Times New Roman" w:cs="Times New Roman"/>
          <w:sz w:val="32"/>
          <w:szCs w:val="32"/>
        </w:rPr>
        <w:t xml:space="preserve"> для доходов 2,4 млн. руб. и менее в год;</w:t>
      </w:r>
    </w:p>
    <w:p w:rsidR="001A09EB" w:rsidRDefault="001A09EB" w:rsidP="001A09E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- 15% – </w:t>
      </w:r>
      <w:r w:rsidRPr="001A09EB">
        <w:rPr>
          <w:rFonts w:ascii="Times New Roman" w:hAnsi="Times New Roman" w:cs="Times New Roman"/>
          <w:sz w:val="32"/>
          <w:szCs w:val="32"/>
        </w:rPr>
        <w:t xml:space="preserve">свыше 2,4 млн. и не более 5 млн. руб. в год; </w:t>
      </w:r>
    </w:p>
    <w:p w:rsidR="001A09EB" w:rsidRDefault="001A09EB" w:rsidP="001A09E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- 18% –</w:t>
      </w:r>
      <w:r w:rsidRPr="001A09EB">
        <w:rPr>
          <w:rFonts w:ascii="Times New Roman" w:hAnsi="Times New Roman" w:cs="Times New Roman"/>
          <w:sz w:val="32"/>
          <w:szCs w:val="32"/>
        </w:rPr>
        <w:t xml:space="preserve"> свыше 5 млн. и не более 20 млн. руб. в год; </w:t>
      </w:r>
    </w:p>
    <w:p w:rsidR="001A09EB" w:rsidRDefault="001A09EB" w:rsidP="001A09E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- 20% –</w:t>
      </w:r>
      <w:r w:rsidRPr="001A09EB">
        <w:rPr>
          <w:rFonts w:ascii="Times New Roman" w:hAnsi="Times New Roman" w:cs="Times New Roman"/>
          <w:sz w:val="32"/>
          <w:szCs w:val="32"/>
        </w:rPr>
        <w:t xml:space="preserve"> свыше 20 млн. и не более 50 млн. руб. в год; </w:t>
      </w:r>
    </w:p>
    <w:p w:rsidR="001A09EB" w:rsidRDefault="001A09EB" w:rsidP="001A09E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- 22% – </w:t>
      </w:r>
      <w:r w:rsidRPr="001A09EB">
        <w:rPr>
          <w:rFonts w:ascii="Times New Roman" w:hAnsi="Times New Roman" w:cs="Times New Roman"/>
          <w:sz w:val="32"/>
          <w:szCs w:val="32"/>
        </w:rPr>
        <w:t xml:space="preserve">свыше 50 млн. руб. в год. </w:t>
      </w:r>
    </w:p>
    <w:p w:rsidR="001A09EB" w:rsidRDefault="001A09EB" w:rsidP="001A09E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A09EB">
        <w:rPr>
          <w:rFonts w:ascii="Times New Roman" w:hAnsi="Times New Roman" w:cs="Times New Roman"/>
          <w:sz w:val="32"/>
          <w:szCs w:val="32"/>
        </w:rPr>
        <w:t xml:space="preserve">Повышенные ставки нужно применять не ко всему доходу, а лишь к сумме превышения, как и прежде. Для отдельных видов доходов физлиц порядок налогообложения с 2025 года также изменили. Например, для дивидендов и процентов по вкладам ставку 15% применят, если доход составит 2,4 млн. руб. и более в год. При установлении прогрессивной шкалы налога учли особенности труда в районах Крайнего Севера и приравненных к ним местностях. Так, ставку 15% к доходам работников в этих местностях нужно применять при превышении 5 млн. руб. в год. Шкала ставок НДФЛ для ряда нерезидентов также изменилась. К примеру, для высококвалифицированных специалистов и дистанционных работников она аналогична 5-ступенчатой шкале ставок для резидентов. </w:t>
      </w:r>
    </w:p>
    <w:p w:rsidR="001A09EB" w:rsidRPr="001A09EB" w:rsidRDefault="001A09EB" w:rsidP="001A09E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1A09EB">
        <w:rPr>
          <w:rFonts w:ascii="Times New Roman" w:hAnsi="Times New Roman" w:cs="Times New Roman"/>
          <w:b/>
          <w:sz w:val="32"/>
          <w:szCs w:val="32"/>
        </w:rPr>
        <w:lastRenderedPageBreak/>
        <w:t>Увеличивают стандартные вычеты на детей и предельный доход для их предоставления</w:t>
      </w:r>
    </w:p>
    <w:p w:rsidR="001A09EB" w:rsidRDefault="001A09EB" w:rsidP="001A09E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A09EB">
        <w:rPr>
          <w:rFonts w:ascii="Times New Roman" w:hAnsi="Times New Roman" w:cs="Times New Roman"/>
          <w:sz w:val="32"/>
          <w:szCs w:val="32"/>
        </w:rPr>
        <w:t xml:space="preserve"> </w:t>
      </w:r>
    </w:p>
    <w:p w:rsidR="001A09EB" w:rsidRDefault="001A09EB" w:rsidP="001A09E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1A09EB">
        <w:rPr>
          <w:rFonts w:ascii="Times New Roman" w:hAnsi="Times New Roman" w:cs="Times New Roman"/>
          <w:sz w:val="32"/>
          <w:szCs w:val="32"/>
        </w:rPr>
        <w:t>Стандартные вычеты на детей:</w:t>
      </w:r>
    </w:p>
    <w:p w:rsidR="001A09EB" w:rsidRDefault="001A09EB" w:rsidP="001A09E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A09EB">
        <w:rPr>
          <w:rFonts w:ascii="Times New Roman" w:hAnsi="Times New Roman" w:cs="Times New Roman"/>
          <w:sz w:val="32"/>
          <w:szCs w:val="32"/>
        </w:rPr>
        <w:t xml:space="preserve"> - на второго ребенка </w:t>
      </w:r>
      <w:r>
        <w:rPr>
          <w:rFonts w:ascii="Times New Roman" w:hAnsi="Times New Roman" w:cs="Times New Roman"/>
          <w:sz w:val="32"/>
          <w:szCs w:val="32"/>
        </w:rPr>
        <w:t>–</w:t>
      </w:r>
      <w:r w:rsidRPr="001A09EB">
        <w:rPr>
          <w:rFonts w:ascii="Times New Roman" w:hAnsi="Times New Roman" w:cs="Times New Roman"/>
          <w:sz w:val="32"/>
          <w:szCs w:val="32"/>
        </w:rPr>
        <w:t xml:space="preserve"> 2 800 руб.; </w:t>
      </w:r>
    </w:p>
    <w:p w:rsidR="001A09EB" w:rsidRDefault="001A09EB" w:rsidP="001A09E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A09EB">
        <w:rPr>
          <w:rFonts w:ascii="Times New Roman" w:hAnsi="Times New Roman" w:cs="Times New Roman"/>
          <w:sz w:val="32"/>
          <w:szCs w:val="32"/>
        </w:rPr>
        <w:t xml:space="preserve">- на третьего и каждого следующего ребенка </w:t>
      </w:r>
      <w:r>
        <w:rPr>
          <w:rFonts w:ascii="Times New Roman" w:hAnsi="Times New Roman" w:cs="Times New Roman"/>
          <w:sz w:val="32"/>
          <w:szCs w:val="32"/>
        </w:rPr>
        <w:t>–</w:t>
      </w:r>
      <w:r w:rsidRPr="001A09EB">
        <w:rPr>
          <w:rFonts w:ascii="Times New Roman" w:hAnsi="Times New Roman" w:cs="Times New Roman"/>
          <w:sz w:val="32"/>
          <w:szCs w:val="32"/>
        </w:rPr>
        <w:t xml:space="preserve"> 6 000 руб.; </w:t>
      </w:r>
    </w:p>
    <w:p w:rsidR="006506DC" w:rsidRPr="001A09EB" w:rsidRDefault="001A09EB" w:rsidP="001A09E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A09EB">
        <w:rPr>
          <w:rFonts w:ascii="Times New Roman" w:hAnsi="Times New Roman" w:cs="Times New Roman"/>
          <w:sz w:val="32"/>
          <w:szCs w:val="32"/>
        </w:rPr>
        <w:t>- на ребенка-инвалида, находящегося на обеспечении опекуна, попечителя, приемного родителя, супру</w:t>
      </w:r>
      <w:r>
        <w:rPr>
          <w:rFonts w:ascii="Times New Roman" w:hAnsi="Times New Roman" w:cs="Times New Roman"/>
          <w:sz w:val="32"/>
          <w:szCs w:val="32"/>
        </w:rPr>
        <w:t>га (супруги) приемного родителя,</w:t>
      </w:r>
      <w:r w:rsidRPr="001A09EB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–</w:t>
      </w:r>
      <w:r w:rsidRPr="001A09EB">
        <w:rPr>
          <w:rFonts w:ascii="Times New Roman" w:hAnsi="Times New Roman" w:cs="Times New Roman"/>
          <w:sz w:val="32"/>
          <w:szCs w:val="32"/>
        </w:rPr>
        <w:t xml:space="preserve"> 12 000 руб. Одновременно увеличивают совокупный доход для применения вычетов </w:t>
      </w:r>
      <w:r>
        <w:rPr>
          <w:rFonts w:ascii="Times New Roman" w:hAnsi="Times New Roman" w:cs="Times New Roman"/>
          <w:sz w:val="32"/>
          <w:szCs w:val="32"/>
        </w:rPr>
        <w:t>–</w:t>
      </w:r>
      <w:r w:rsidRPr="001A09EB">
        <w:rPr>
          <w:rFonts w:ascii="Times New Roman" w:hAnsi="Times New Roman" w:cs="Times New Roman"/>
          <w:sz w:val="32"/>
          <w:szCs w:val="32"/>
        </w:rPr>
        <w:t xml:space="preserve"> с 350 тыс. до 450 тыс. руб</w:t>
      </w:r>
      <w:r>
        <w:rPr>
          <w:rFonts w:ascii="Times New Roman" w:hAnsi="Times New Roman" w:cs="Times New Roman"/>
          <w:sz w:val="32"/>
          <w:szCs w:val="32"/>
        </w:rPr>
        <w:t>.</w:t>
      </w:r>
    </w:p>
    <w:sectPr w:rsidR="006506DC" w:rsidRPr="001A09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6DC"/>
    <w:rsid w:val="001A09EB"/>
    <w:rsid w:val="00650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CF823"/>
  <w15:chartTrackingRefBased/>
  <w15:docId w15:val="{A56B1D61-A478-4321-8A42-4B672EBC3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09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A09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253</dc:creator>
  <cp:keywords/>
  <dc:description/>
  <cp:lastModifiedBy>253</cp:lastModifiedBy>
  <cp:revision>3</cp:revision>
  <cp:lastPrinted>2024-11-19T03:12:00Z</cp:lastPrinted>
  <dcterms:created xsi:type="dcterms:W3CDTF">2024-11-19T03:03:00Z</dcterms:created>
  <dcterms:modified xsi:type="dcterms:W3CDTF">2024-11-19T03:12:00Z</dcterms:modified>
</cp:coreProperties>
</file>